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2025年1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基建安全部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园区总投资约为78433万元，所辖主要工程为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铁路专用线改扩建项目、智慧冷链物流中心项目、铁路及生鲜物流中心项目、常低温库项目共四个在建项目。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2025年度计划投资35930.14万元，本年度累计完成25370.7万元，本月完成554万元。</w:t>
      </w:r>
    </w:p>
    <w:p w14:paraId="3B2A0C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 进展情况</w:t>
      </w:r>
    </w:p>
    <w:p w14:paraId="41D43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工程进度（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</w:p>
    <w:p w14:paraId="140B7E4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528E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铁路专用线改扩建项目：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已基本完成，无进展。</w:t>
      </w:r>
    </w:p>
    <w:p w14:paraId="38F6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智慧冷链物流中心项目：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4#常温库项目本月A区立库（货架部分）及消防管道安装完成50%；5#标准冷库项目本月主要完成夹层制冷管道安装完成30%；二层聚氨酯完成10%；6#标准冷库</w:t>
      </w:r>
      <w:r>
        <w:rPr>
          <w:rFonts w:hint="default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本月主要完成：一层电力照明安装。</w:t>
      </w:r>
    </w:p>
    <w:p w14:paraId="66A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铁路及生鲜物流中心项目：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2#库完成墙面天棚保温完成95%，库门施工完成50%，制冷设备安装完成85%，窗户安装完成100%，高架库吊顶完成30%、保温完成70%。3#库完成水电安装完成95%，库门施工完成90%、门窗户安装完成80%、制冷设备安装完成95%，地面固化完成15%，吊顶完成100%。</w:t>
      </w:r>
    </w:p>
    <w:p w14:paraId="241004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（二）质量控制</w:t>
      </w:r>
    </w:p>
    <w:p w14:paraId="7B03D9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本月质量控制工作严格执行，主要措施包括：</w:t>
      </w:r>
    </w:p>
    <w:p w14:paraId="1A27281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1、材料质量控制：</w:t>
      </w:r>
    </w:p>
    <w:p w14:paraId="0C97E0E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7217E92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对钢筋、混凝土、保温材料等进行抽样检测，确保质量合格。</w:t>
      </w:r>
    </w:p>
    <w:p w14:paraId="11B1C73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2、施工工艺控制：</w:t>
      </w:r>
    </w:p>
    <w:p w14:paraId="74C39D9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严格按照施工方案和规范操作，确保施工工艺符合要求。</w:t>
      </w:r>
    </w:p>
    <w:p w14:paraId="168CF37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对焊接、防水、保温等关键工序进行重点监控。</w:t>
      </w:r>
    </w:p>
    <w:p w14:paraId="277352B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3、质量记录管理：</w:t>
      </w:r>
    </w:p>
    <w:p w14:paraId="7A3746A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复工前整理并审核所有质量记录，确保完整、准确。</w:t>
      </w:r>
    </w:p>
    <w:p w14:paraId="1F21492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复工后继续做好施工记录，确保可追溯。</w:t>
      </w:r>
    </w:p>
    <w:p w14:paraId="066A0C7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4、各隐蔽工程严格执行报检验收程序；</w:t>
      </w:r>
    </w:p>
    <w:p w14:paraId="21DC23B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5、监理及施工单位旁站、巡查。</w:t>
      </w:r>
    </w:p>
    <w:p w14:paraId="0D02519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6、严格把控水泥稳定土施工工艺。</w:t>
      </w:r>
    </w:p>
    <w:p w14:paraId="4098666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7、施工中过程控制，严格执行三检制。‌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2A65C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（三）安全生产</w:t>
      </w:r>
    </w:p>
    <w:p w14:paraId="3B6B07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本月开展安全检查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共6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次，发现问题6项。</w:t>
      </w:r>
    </w:p>
    <w:p w14:paraId="1FDEB8B8">
      <w:pPr>
        <w:ind w:firstLine="60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主要措施包括：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（1）个别工人安全带佩戴不规范；（2）厂区垃圾清理不及时；（3）挡土墙基坑临边防护不到位；（4）配电箱巡检记录更新不及时。换配电箱，且要求现场施工规范用电；（5）施工现场安全防护设施不齐全，如安全网、护栏、警示标志等；（6）高空作业、动火作业等高风险作业需严格执行安全措施。</w:t>
      </w:r>
    </w:p>
    <w:p w14:paraId="1D90936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 成本控制</w:t>
      </w:r>
    </w:p>
    <w:p w14:paraId="1E65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（一）冷链物流中心：</w:t>
      </w:r>
    </w:p>
    <w:p w14:paraId="59E32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本月无产值。</w:t>
      </w:r>
    </w:p>
    <w:p w14:paraId="2E565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（二）铁路及生鲜物流中心项目：</w:t>
      </w:r>
    </w:p>
    <w:p w14:paraId="68B1E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2#库：本月实际产值145万元，计划产值300万元。</w:t>
      </w:r>
    </w:p>
    <w:p w14:paraId="37DB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3#库：本月实际产值214万元，计划产值300万元。</w:t>
      </w:r>
    </w:p>
    <w:p w14:paraId="6AE2A3E8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 协调与沟通</w:t>
      </w:r>
    </w:p>
    <w:p w14:paraId="44161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质量管理方面：从原材料的进场检验到每一道施工工序的质量把控，都做到了一丝不苟、严谨细致。加强室外工程冬季施工管理，确保冬季施工质量可控，项目部有专人负责监督检查、监理有专人负责旁站、项目管理单位和建设单位全方位巡查，及时发现并纠正施工过程中出现的质量问题。</w:t>
      </w:r>
    </w:p>
    <w:p w14:paraId="1BE8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安全生产方面：各参建单位认真落实安全生产责任制，将安全目标层层分解，落实到每一个岗位、每一位员工。加强对施工现场的安全管理，各单位均设置专职安全管理人员，每日对施工现场进行巡查，及时发现并消除安全隐患。</w:t>
      </w:r>
    </w:p>
    <w:p w14:paraId="41AAB181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 风险及问题</w:t>
      </w:r>
    </w:p>
    <w:p w14:paraId="64F8B4F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</w:p>
    <w:p w14:paraId="21008526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 下一步工作计划</w:t>
      </w:r>
    </w:p>
    <w:p w14:paraId="384D261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(一)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项目进展情况</w:t>
      </w:r>
    </w:p>
    <w:p w14:paraId="5056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冷链物流中心：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附属工程施工完成。</w:t>
      </w:r>
    </w:p>
    <w:p w14:paraId="3606903A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太行智慧冷链物流园常低温库项目：</w:t>
      </w:r>
    </w:p>
    <w:p w14:paraId="34D7E4B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、严格按照验收程序进行每道工序的验收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eastAsia="zh-CN"/>
        </w:rPr>
        <w:t>，所有质量活动均应留有记录，确保质量问题可追溯、责任可落实。持续改进质量管理措施。通过严格的过程控制、精准的材料管理和完善的制度保障，共同铸就优质工程。</w:t>
      </w:r>
    </w:p>
    <w:p w14:paraId="596E7D60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持续开展系统性、全方位的节前安全生产大检查。此次检查应覆盖所有作业区域与关键环节，及时消除潜在风险隐患，为平安过节筑牢基础。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主要针对现场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临时用电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、消防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安全、动火作业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、现场安全防护措施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人员劳动防护用品使用等内容，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发现违规作业问题及时处理，对于检查中发现的任何违规作业行为或事故隐患，必须立即采取有效措施予以制止或控制，降低安全隐患风险。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督促施工单位继续严格落实整改措施、整改责任人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站好年前最后一班岗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。</w:t>
      </w:r>
    </w:p>
    <w:p w14:paraId="2B8FFB56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highlight w:val="none"/>
        </w:rPr>
        <w:t>铁路及生鲜物流中心项目：</w:t>
      </w:r>
    </w:p>
    <w:p w14:paraId="6B7C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00" w:firstLineChars="3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2#库：高架库吊顶、保温完成；库门施工完成制冷设备安装完成；室外工程管网、挡墙施工。</w:t>
      </w:r>
    </w:p>
    <w:p w14:paraId="57AA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00" w:firstLineChars="3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3#库：地面固化完成，门窗安装完成，电线电缆、配电箱按照完成，制冷设备调试完成。</w:t>
      </w:r>
    </w:p>
    <w:p w14:paraId="6524214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 w14:paraId="1764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2#库资金需求150万元；</w:t>
      </w:r>
    </w:p>
    <w:p w14:paraId="217C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3#库资金需求300万元；</w:t>
      </w:r>
    </w:p>
    <w:p w14:paraId="0B97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智慧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冷链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物流中心项目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下月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资金需求10万元。</w:t>
      </w:r>
    </w:p>
    <w:p w14:paraId="6295A6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七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建议与总结</w:t>
      </w:r>
    </w:p>
    <w:p w14:paraId="651BD80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综上所述，本月项目进展情况良好，持续加强安全、环保等工作，下一步需要重点关注地面固化、门窗安装、制冷设备安装、高架库保温施工，同时加强与政府部门的沟通，及时解决存在的环保问题。</w:t>
      </w:r>
    </w:p>
    <w:p w14:paraId="2F49C399">
      <w:pPr>
        <w:rPr>
          <w:rFonts w:hint="default" w:ascii="Times New Roman" w:hAnsi="Times New Roman" w:cs="Times New Roman"/>
          <w:lang w:val="en-US" w:eastAsia="zh-CN"/>
        </w:rPr>
      </w:pPr>
    </w:p>
    <w:p w14:paraId="229032EE">
      <w:pPr>
        <w:rPr>
          <w:rFonts w:hint="default" w:ascii="Times New Roman" w:hAnsi="Times New Roman" w:cs="Times New Roman"/>
          <w:lang w:val="en-US" w:eastAsia="zh-CN"/>
        </w:rPr>
      </w:pPr>
    </w:p>
    <w:p w14:paraId="6FDFA247">
      <w:pPr>
        <w:jc w:val="center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4E1F15B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14A6E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0.7亿元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0.01亿元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3D352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项目总投资为0.75亿元，本年累计完成约为0.75亿元，本月完成投资0.27亿元，由太行城乡建设集团有限公司承建。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241036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21B40AF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09FAE43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条到发线（路基、排水完成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%，道砟铺设完成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%，铺轨完成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%）完成到发线施工计划关键点；园区附属工程累计完成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%（排水系统边坡防护除涉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改线段外已全部完成）；四电工程完成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%；引线部分完成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王政渠中桥施工完成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，路基帮宽完成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，四电工程完成60%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67F65643">
      <w:pPr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桩基累计完成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%，钢结构主体完成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%。</w:t>
      </w:r>
    </w:p>
    <w:p w14:paraId="6A9FBF9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63B117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本月质量控制工作严格依据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GB/T19001-2008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《质量管理体系要求》、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GB/T50430-2007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《工程建设施工企业质量管理规范》及相关规章制度等建立完整的质量保证体系、质量管理体系以及质量保证与控制方案，主要措施包括：</w:t>
      </w:r>
    </w:p>
    <w:p w14:paraId="018963C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建立质量管理体系，明确各部门质量职责和权限；</w:t>
      </w:r>
    </w:p>
    <w:p w14:paraId="17E4102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箱检查；</w:t>
      </w:r>
    </w:p>
    <w:p w14:paraId="5E042483">
      <w:pPr>
        <w:pStyle w:val="2"/>
        <w:numPr>
          <w:ilvl w:val="0"/>
          <w:numId w:val="2"/>
        </w:numPr>
        <w:ind w:left="0" w:leftChars="0" w:firstLine="60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0FD69A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744D281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本月主要开展安全检查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次，发现问题隐患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项，已整改完成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项。</w:t>
      </w:r>
    </w:p>
    <w:p w14:paraId="07D26F7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三 成本控制</w:t>
      </w:r>
    </w:p>
    <w:p w14:paraId="2F85FE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本月成本控制良好按计划进行无偏差，本月固定资产投资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0.3亿元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。</w:t>
      </w:r>
    </w:p>
    <w:p w14:paraId="56D2CA5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四 协调与沟通</w:t>
      </w:r>
    </w:p>
    <w:p w14:paraId="23C7701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与交通管理部门协调沟通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改线工期事宜。</w:t>
      </w:r>
    </w:p>
    <w:p w14:paraId="5004223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五 风险及问题</w:t>
      </w:r>
    </w:p>
    <w:p w14:paraId="14509D4E">
      <w:pPr>
        <w:pStyle w:val="10"/>
        <w:ind w:left="0" w:leftChars="0" w:firstLine="900" w:firstLineChars="300"/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</w:p>
    <w:p w14:paraId="7654418D">
      <w:pPr>
        <w:pStyle w:val="10"/>
        <w:ind w:left="0" w:leftChars="0" w:firstLine="600" w:firstLineChars="200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六 下一步工作计划</w:t>
      </w:r>
      <w:bookmarkStart w:id="0" w:name="_GoBack"/>
      <w:bookmarkEnd w:id="0"/>
    </w:p>
    <w:p w14:paraId="41696E63">
      <w:pPr>
        <w:pStyle w:val="10"/>
        <w:ind w:left="0" w:leftChars="0" w:firstLine="900" w:firstLineChars="3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%，完成物流区仓库钢结构与墙板安装。</w:t>
      </w:r>
    </w:p>
    <w:p w14:paraId="271B9A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七 建议与总结</w:t>
      </w:r>
    </w:p>
    <w:p w14:paraId="5685CB3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临近既有线铺轨施工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mQ2ZjBhNGUyNTAzYzY0MDkyY2QxMGIyMjJhOTY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985582"/>
    <w:rsid w:val="0AC736EC"/>
    <w:rsid w:val="0B9D489B"/>
    <w:rsid w:val="0CD27373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480FA2"/>
    <w:rsid w:val="2459492E"/>
    <w:rsid w:val="24AB6FD8"/>
    <w:rsid w:val="24B52B04"/>
    <w:rsid w:val="251B62D1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984D48"/>
    <w:rsid w:val="2DAA682A"/>
    <w:rsid w:val="2DDE305F"/>
    <w:rsid w:val="2F08244F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7B562F"/>
    <w:rsid w:val="39196844"/>
    <w:rsid w:val="39B90520"/>
    <w:rsid w:val="3ABC7603"/>
    <w:rsid w:val="3B7D38F6"/>
    <w:rsid w:val="3C1B798B"/>
    <w:rsid w:val="3E5C0107"/>
    <w:rsid w:val="40385F17"/>
    <w:rsid w:val="4136645F"/>
    <w:rsid w:val="41967399"/>
    <w:rsid w:val="42C9673A"/>
    <w:rsid w:val="42CA554C"/>
    <w:rsid w:val="438A6A89"/>
    <w:rsid w:val="43D47D05"/>
    <w:rsid w:val="46AB7443"/>
    <w:rsid w:val="46BB6321"/>
    <w:rsid w:val="46FA0791"/>
    <w:rsid w:val="478B1022"/>
    <w:rsid w:val="47B60CA9"/>
    <w:rsid w:val="482E20D9"/>
    <w:rsid w:val="489D6486"/>
    <w:rsid w:val="48A51C70"/>
    <w:rsid w:val="4A3567EB"/>
    <w:rsid w:val="4B160936"/>
    <w:rsid w:val="4BE156B5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664C39"/>
    <w:rsid w:val="6C953C26"/>
    <w:rsid w:val="6CA200F0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7</Pages>
  <Words>2860</Words>
  <Characters>3055</Characters>
  <Lines>0</Lines>
  <Paragraphs>0</Paragraphs>
  <TotalTime>4</TotalTime>
  <ScaleCrop>false</ScaleCrop>
  <LinksUpToDate>false</LinksUpToDate>
  <CharactersWithSpaces>3117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褚利娜</cp:lastModifiedBy>
  <cp:lastPrinted>2024-11-26T02:16:00Z</cp:lastPrinted>
  <dcterms:modified xsi:type="dcterms:W3CDTF">2025-12-30T03:41:54Z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eyJoZGlkIjoiNzcyMzU2ZjY0YmU1ZWIxNzIwNDllZmYwM2FkNjU0Y2MiLCJ1c2VySWQiOiI0MDc1NjQ1ODUifQ==</vt:lpwstr>
  </property>
</Properties>
</file>